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>
        <w:rPr>
          <w:lang w:eastAsia="fr-FR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67050" cy="641126"/>
                <wp:effectExtent l="0" t="0" r="0" b="6985"/>
                <wp:docPr id="1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3113922" cy="6509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241.50pt;height:50.48pt;mso-wrap-distance-left:0.00pt;mso-wrap-distance-top:0.00pt;mso-wrap-distance-right:0.00pt;mso-wrap-distance-bottom:0.00pt;z-index:1;" stroked="f" strokeweight="0.75pt">
                <v:imagedata r:id="rId10" o:title=""/>
                <o:lock v:ext="edit" rotation="t"/>
              </v:shape>
            </w:pict>
          </mc:Fallback>
        </mc:AlternateContent>
      </w:r>
      <w:r/>
    </w:p>
    <w:p>
      <w:pPr>
        <w:pBdr>
          <w:bottom w:val="single" w:color="808080" w:sz="2" w:space="1"/>
        </w:pBdr>
        <w:spacing/>
        <w:ind/>
        <w:rPr>
          <w:rFonts w:ascii="Verdana" w:hAnsi="Verdana"/>
          <w:color w:val="0043a5"/>
          <w:sz w:val="36"/>
          <w:lang w:val="nl-NL"/>
        </w:rPr>
      </w:pPr>
      <w:r>
        <w:rPr>
          <w:rFonts w:ascii="Verdana" w:hAnsi="Verdana"/>
          <w:color w:val="0043a5"/>
          <w:sz w:val="36"/>
          <w:lang w:val="nl-NL"/>
        </w:rPr>
      </w:r>
      <w:r>
        <w:rPr>
          <w:rFonts w:ascii="Verdana" w:hAnsi="Verdana"/>
          <w:color w:val="0043a5"/>
          <w:sz w:val="36"/>
          <w:lang w:val="nl-NL"/>
        </w:rPr>
      </w:r>
    </w:p>
    <w:p>
      <w:pPr>
        <w:pBdr/>
        <w:spacing/>
        <w:ind/>
        <w:jc w:val="center"/>
        <w:rPr>
          <w:rFonts w:ascii="Verdana" w:hAnsi="Verdana"/>
          <w:b/>
          <w:color w:val="0043a5"/>
          <w:sz w:val="36"/>
        </w:rPr>
      </w:pPr>
      <w:r>
        <w:rPr>
          <w:rFonts w:ascii="Verdana" w:hAnsi="Verdana"/>
          <w:b/>
          <w:color w:val="0043a5"/>
          <w:sz w:val="36"/>
        </w:rPr>
        <w:t xml:space="preserve">Équipement pour la mesure synchrone de signaux ultrasonores sur une fibre optique à plusieurs réseaux de Bragg </w:t>
      </w:r>
      <w:r>
        <w:rPr>
          <w:rFonts w:ascii="Verdana" w:hAnsi="Verdana"/>
          <w:b/>
          <w:color w:val="0043a5"/>
          <w:sz w:val="36"/>
        </w:rPr>
      </w:r>
    </w:p>
    <w:p>
      <w:pPr>
        <w:pBdr>
          <w:top w:val="single" w:color="808080" w:sz="2" w:space="1"/>
        </w:pBdr>
        <w:spacing/>
        <w:ind/>
        <w:rPr>
          <w:rFonts w:ascii="Verdana" w:hAnsi="Verdana" w:cs="Calibri"/>
          <w:b/>
          <w:bCs/>
          <w:iCs/>
          <w:color w:val="0043a5"/>
          <w:sz w:val="32"/>
          <w:szCs w:val="28"/>
        </w:rPr>
      </w:pPr>
      <w:r>
        <w:rPr>
          <w:rFonts w:ascii="Verdana" w:hAnsi="Verdana" w:cs="Calibri"/>
          <w:b/>
          <w:bCs/>
          <w:iCs/>
          <w:color w:val="0043a5"/>
          <w:sz w:val="32"/>
          <w:szCs w:val="28"/>
        </w:rPr>
      </w:r>
      <w:r>
        <w:rPr>
          <w:rFonts w:ascii="Verdana" w:hAnsi="Verdana" w:cs="Calibri"/>
          <w:b/>
          <w:bCs/>
          <w:iCs/>
          <w:color w:val="0043a5"/>
          <w:sz w:val="32"/>
          <w:szCs w:val="28"/>
        </w:rPr>
      </w:r>
    </w:p>
    <w:p>
      <w:pPr>
        <w:pBdr/>
        <w:spacing/>
        <w:ind/>
        <w:jc w:val="center"/>
        <w:rPr>
          <w:rFonts w:ascii="Verdana" w:hAnsi="Verdana" w:cs="Verdana"/>
          <w:b/>
          <w:bCs/>
          <w:color w:val="0043a5"/>
          <w:sz w:val="40"/>
          <w:szCs w:val="40"/>
        </w:rPr>
      </w:pPr>
      <w:r>
        <w:rPr>
          <w:rFonts w:ascii="Verdana" w:hAnsi="Verdana" w:cs="Verdana"/>
          <w:b/>
          <w:bCs/>
          <w:color w:val="0043a5"/>
          <w:sz w:val="40"/>
          <w:szCs w:val="40"/>
        </w:rPr>
        <w:t xml:space="preserve">Marché n° 2025FOUR010NTE</w:t>
      </w:r>
      <w:r>
        <w:rPr>
          <w:rFonts w:ascii="Verdana" w:hAnsi="Verdana" w:cs="Verdana"/>
          <w:b/>
          <w:bCs/>
          <w:color w:val="0043a5"/>
          <w:sz w:val="40"/>
          <w:szCs w:val="40"/>
        </w:rPr>
      </w:r>
    </w:p>
    <w:p>
      <w:pPr>
        <w:pBdr/>
        <w:spacing/>
        <w:ind/>
        <w:jc w:val="center"/>
        <w:rPr/>
      </w:pPr>
      <w:r>
        <w:rPr>
          <w:sz w:val="52"/>
          <w:szCs w:val="52"/>
        </w:rPr>
        <w:t xml:space="preserve">Annexe </w:t>
      </w:r>
      <w:r>
        <w:rPr>
          <w:sz w:val="52"/>
          <w:szCs w:val="52"/>
        </w:rPr>
        <w:t xml:space="preserve">1</w:t>
      </w:r>
      <w:r>
        <w:rPr>
          <w:sz w:val="52"/>
          <w:szCs w:val="52"/>
        </w:rPr>
        <w:t xml:space="preserve"> </w:t>
      </w:r>
      <w:r>
        <w:rPr>
          <w:sz w:val="52"/>
          <w:szCs w:val="52"/>
        </w:rPr>
        <w:t xml:space="preserve">à l’acte d’engagement</w:t>
      </w:r>
      <w:r/>
    </w:p>
    <w:p>
      <w:pPr>
        <w:pBdr/>
        <w:spacing/>
        <w:ind/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Délais d’exécution</w:t>
      </w:r>
      <w:r>
        <w:rPr>
          <w:sz w:val="52"/>
          <w:szCs w:val="52"/>
        </w:rPr>
      </w:r>
    </w:p>
    <w:p>
      <w:pPr>
        <w:pBdr/>
        <w:spacing/>
        <w:ind/>
        <w:rPr/>
      </w:pPr>
      <w:r/>
      <w:r/>
    </w:p>
    <w:tbl>
      <w:tblPr>
        <w:tblW w:w="103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5637"/>
        <w:gridCol w:w="4706"/>
      </w:tblGrid>
      <w:tr>
        <w:trPr/>
        <w:tc>
          <w:tcPr>
            <w:tcBorders/>
            <w:tcW w:w="5637" w:type="dxa"/>
            <w:vAlign w:val="center"/>
            <w:textDirection w:val="lrTb"/>
            <w:noWrap w:val="false"/>
          </w:tcPr>
          <w:p>
            <w:pPr>
              <w:pBdr/>
              <w:spacing w:after="120" w:before="120"/>
              <w:ind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</w:r>
          </w:p>
        </w:tc>
        <w:tc>
          <w:tcPr>
            <w:tcBorders/>
            <w:tcW w:w="4706" w:type="dxa"/>
            <w:vAlign w:val="center"/>
            <w:textDirection w:val="lrTb"/>
            <w:noWrap w:val="false"/>
          </w:tcPr>
          <w:p>
            <w:pPr>
              <w:pBdr/>
              <w:spacing w:after="120" w:before="120"/>
              <w:ind/>
              <w:jc w:val="center"/>
              <w:rPr>
                <w:rFonts w:ascii="Arial" w:hAnsi="Arial" w:eastAsia="Times New Roman" w:cs="Arial"/>
                <w:b/>
                <w:bCs/>
              </w:rPr>
            </w:pPr>
            <w:r>
              <w:rPr>
                <w:rFonts w:ascii="Arial" w:hAnsi="Arial" w:eastAsia="Times New Roman" w:cs="Arial"/>
                <w:b/>
                <w:bCs/>
              </w:rPr>
              <w:t xml:space="preserve">Dates prévisionnelles</w:t>
            </w:r>
            <w:r>
              <w:rPr>
                <w:rFonts w:ascii="Arial" w:hAnsi="Arial" w:eastAsia="Times New Roman" w:cs="Arial"/>
                <w:b/>
                <w:bCs/>
              </w:rPr>
            </w:r>
          </w:p>
        </w:tc>
      </w:tr>
      <w:tr>
        <w:trPr/>
        <w:tc>
          <w:tcPr>
            <w:tcBorders/>
            <w:tcW w:w="5637" w:type="dxa"/>
            <w:vAlign w:val="center"/>
            <w:textDirection w:val="lrTb"/>
            <w:noWrap w:val="false"/>
          </w:tcPr>
          <w:p>
            <w:pPr>
              <w:pBdr/>
              <w:spacing w:after="120" w:before="120"/>
              <w:ind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Notification du marché</w:t>
            </w:r>
            <w:r>
              <w:rPr>
                <w:rFonts w:ascii="Arial" w:hAnsi="Arial" w:eastAsia="Times New Roman" w:cs="Arial"/>
              </w:rPr>
            </w:r>
          </w:p>
        </w:tc>
        <w:tc>
          <w:tcPr>
            <w:tcBorders/>
            <w:tcW w:w="4706" w:type="dxa"/>
            <w:vAlign w:val="center"/>
            <w:textDirection w:val="lrTb"/>
            <w:noWrap w:val="false"/>
          </w:tcPr>
          <w:p>
            <w:pPr>
              <w:pBdr/>
              <w:spacing w:after="120" w:before="120"/>
              <w:ind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T0</w:t>
            </w:r>
            <w:r>
              <w:rPr>
                <w:rFonts w:ascii="Arial" w:hAnsi="Arial" w:eastAsia="Times New Roman" w:cs="Arial"/>
              </w:rPr>
            </w:r>
          </w:p>
        </w:tc>
      </w:tr>
      <w:tr>
        <w:trPr>
          <w:trHeight w:val="585"/>
        </w:trPr>
        <w:tc>
          <w:tcPr>
            <w:tcBorders/>
            <w:tcW w:w="5637" w:type="dxa"/>
            <w:vAlign w:val="center"/>
            <w:textDirection w:val="lrTb"/>
            <w:noWrap w:val="false"/>
          </w:tcPr>
          <w:p>
            <w:pPr>
              <w:pBdr/>
              <w:spacing w:after="120" w:before="120"/>
              <w:ind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Livraison</w:t>
            </w:r>
            <w:r>
              <w:rPr>
                <w:rFonts w:ascii="Arial" w:hAnsi="Arial" w:eastAsia="Times New Roman" w:cs="Arial"/>
              </w:rPr>
            </w:r>
          </w:p>
        </w:tc>
        <w:tc>
          <w:tcPr>
            <w:tcBorders/>
            <w:tcW w:w="4706" w:type="dxa"/>
            <w:vAlign w:val="center"/>
            <w:textDirection w:val="lrTb"/>
            <w:noWrap w:val="false"/>
          </w:tcPr>
          <w:p>
            <w:pPr>
              <w:pBdr/>
              <w:spacing w:after="120" w:before="120"/>
              <w:ind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T0 + </w:t>
            </w:r>
            <w:r>
              <w:rPr>
                <w:rFonts w:ascii="Arial" w:hAnsi="Arial" w:eastAsia="Times New Roman" w:cs="Arial"/>
                <w:color w:val="ff0000"/>
              </w:rPr>
              <w:t xml:space="preserve">à compléter par le candidat</w:t>
            </w:r>
            <w:r>
              <w:rPr>
                <w:rFonts w:ascii="Arial" w:hAnsi="Arial" w:eastAsia="Times New Roman" w:cs="Arial"/>
              </w:rPr>
            </w:r>
          </w:p>
        </w:tc>
      </w:tr>
      <w:tr>
        <w:trPr>
          <w:trHeight w:val="1318"/>
        </w:trPr>
        <w:tc>
          <w:tcPr>
            <w:tcBorders/>
            <w:tcW w:w="5637" w:type="dxa"/>
            <w:vAlign w:val="center"/>
            <w:textDirection w:val="lrTb"/>
            <w:noWrap w:val="false"/>
          </w:tcPr>
          <w:p>
            <w:pPr>
              <w:pBdr/>
              <w:spacing w:after="120" w:before="120"/>
              <w:ind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Installation, mise en ordre de marche (MOM) et </w:t>
            </w:r>
            <w:r>
              <w:rPr>
                <w:rFonts w:ascii="Arial" w:hAnsi="Arial" w:eastAsia="Times New Roman" w:cs="Arial"/>
              </w:rPr>
              <w:t xml:space="preserve">aide à l’utilisation </w:t>
            </w:r>
            <w:r>
              <w:rPr>
                <w:rFonts w:ascii="Arial" w:hAnsi="Arial" w:eastAsia="Times New Roman" w:cs="Arial"/>
              </w:rPr>
              <w:t xml:space="preserve">réalisée par le titulaire </w:t>
            </w:r>
            <w:r>
              <w:rPr>
                <w:rFonts w:ascii="Arial" w:hAnsi="Arial" w:eastAsia="Times New Roman" w:cs="Arial"/>
              </w:rPr>
              <w:t xml:space="preserve">avec remise des notices techniques et supports </w:t>
            </w:r>
            <w:r>
              <w:rPr>
                <w:rFonts w:ascii="Arial" w:hAnsi="Arial" w:eastAsia="Times New Roman" w:cs="Arial"/>
              </w:rPr>
            </w:r>
          </w:p>
        </w:tc>
        <w:tc>
          <w:tcPr>
            <w:tcBorders/>
            <w:tcW w:w="4706" w:type="dxa"/>
            <w:vAlign w:val="center"/>
            <w:textDirection w:val="lrTb"/>
            <w:noWrap w:val="false"/>
          </w:tcPr>
          <w:p>
            <w:pPr>
              <w:pBdr/>
              <w:spacing w:after="120" w:before="120"/>
              <w:ind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Livraison + </w:t>
            </w:r>
            <w:r>
              <w:rPr>
                <w:rFonts w:ascii="Arial" w:hAnsi="Arial" w:eastAsia="Times New Roman" w:cs="Arial"/>
                <w:color w:val="ff0000"/>
              </w:rPr>
              <w:t xml:space="preserve">à compléter par le candidat</w:t>
            </w:r>
            <w:r>
              <w:rPr>
                <w:rFonts w:ascii="Arial" w:hAnsi="Arial" w:eastAsia="Times New Roman" w:cs="Arial"/>
              </w:rPr>
            </w:r>
          </w:p>
        </w:tc>
      </w:tr>
      <w:tr>
        <w:trPr/>
        <w:tc>
          <w:tcPr>
            <w:tcBorders/>
            <w:tcW w:w="5637" w:type="dxa"/>
            <w:vAlign w:val="center"/>
            <w:textDirection w:val="lrTb"/>
            <w:noWrap w:val="false"/>
          </w:tcPr>
          <w:p>
            <w:pPr>
              <w:pBdr/>
              <w:spacing w:after="120" w:before="120"/>
              <w:ind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Vérification d’Aptitude (VA)</w:t>
            </w:r>
            <w:r>
              <w:rPr>
                <w:rFonts w:ascii="Arial" w:hAnsi="Arial" w:eastAsia="Times New Roman" w:cs="Arial"/>
              </w:rPr>
              <w:t xml:space="preserve"> </w:t>
            </w:r>
            <w:r>
              <w:rPr>
                <w:rFonts w:ascii="Arial" w:hAnsi="Arial" w:eastAsia="Times New Roman" w:cs="Arial"/>
              </w:rPr>
            </w:r>
          </w:p>
        </w:tc>
        <w:tc>
          <w:tcPr>
            <w:tcBorders/>
            <w:tcW w:w="4706" w:type="dxa"/>
            <w:vAlign w:val="center"/>
            <w:textDirection w:val="lrTb"/>
            <w:noWrap w:val="false"/>
          </w:tcPr>
          <w:p>
            <w:pPr>
              <w:pBdr/>
              <w:spacing w:after="120" w:before="120"/>
              <w:ind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Times New Roman" w:cs="Arial"/>
                <w:color w:val="000000"/>
              </w:rPr>
              <w:t xml:space="preserve">MOM + </w:t>
            </w:r>
            <w:r>
              <w:rPr>
                <w:rFonts w:ascii="Arial" w:hAnsi="Arial" w:eastAsia="Times New Roman" w:cs="Arial"/>
                <w:color w:val="000000"/>
              </w:rPr>
              <w:t xml:space="preserve">45</w:t>
            </w:r>
            <w:r>
              <w:rPr>
                <w:rFonts w:ascii="Arial" w:hAnsi="Arial" w:eastAsia="Times New Roman" w:cs="Arial"/>
                <w:color w:val="000000"/>
              </w:rPr>
              <w:t xml:space="preserve"> jours calendaires</w:t>
            </w:r>
            <w:r>
              <w:rPr>
                <w:rFonts w:ascii="Arial" w:hAnsi="Arial" w:eastAsia="Times New Roman" w:cs="Arial"/>
                <w:color w:val="000000"/>
              </w:rPr>
              <w:t xml:space="preserve"> maximum</w:t>
            </w:r>
            <w:r>
              <w:rPr>
                <w:rFonts w:ascii="Arial" w:hAnsi="Arial" w:eastAsia="Times New Roman" w:cs="Arial"/>
                <w:color w:val="000000"/>
              </w:rPr>
            </w:r>
          </w:p>
        </w:tc>
      </w:tr>
      <w:tr>
        <w:trPr/>
        <w:tc>
          <w:tcPr>
            <w:tcBorders/>
            <w:tcW w:w="5637" w:type="dxa"/>
            <w:vAlign w:val="center"/>
            <w:textDirection w:val="lrTb"/>
            <w:noWrap w:val="false"/>
          </w:tcPr>
          <w:p>
            <w:pPr>
              <w:pBdr/>
              <w:spacing w:after="120" w:before="120"/>
              <w:ind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Vérification de service régulier </w:t>
            </w:r>
            <w:r>
              <w:rPr>
                <w:rFonts w:ascii="Arial" w:hAnsi="Arial" w:eastAsia="Times New Roman" w:cs="Arial"/>
              </w:rPr>
              <w:t xml:space="preserve">(VSR) </w:t>
            </w:r>
            <w:r>
              <w:rPr>
                <w:rFonts w:ascii="Arial" w:hAnsi="Arial" w:eastAsia="Times New Roman" w:cs="Arial"/>
              </w:rPr>
              <w:t xml:space="preserve">et Admission</w:t>
            </w:r>
            <w:r>
              <w:rPr>
                <w:rFonts w:ascii="Arial" w:hAnsi="Arial" w:eastAsia="Times New Roman" w:cs="Arial"/>
              </w:rPr>
            </w:r>
          </w:p>
        </w:tc>
        <w:tc>
          <w:tcPr>
            <w:tcBorders/>
            <w:tcW w:w="4706" w:type="dxa"/>
            <w:vAlign w:val="center"/>
            <w:textDirection w:val="lrTb"/>
            <w:noWrap w:val="false"/>
          </w:tcPr>
          <w:p>
            <w:pPr>
              <w:pBdr/>
              <w:spacing w:after="120" w:before="120"/>
              <w:ind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Times New Roman" w:cs="Arial"/>
                <w:color w:val="000000"/>
              </w:rPr>
              <w:t xml:space="preserve">VA + </w:t>
            </w:r>
            <w:r>
              <w:rPr>
                <w:rFonts w:ascii="Arial" w:hAnsi="Arial" w:eastAsia="Times New Roman" w:cs="Arial"/>
                <w:color w:val="000000"/>
              </w:rPr>
              <w:t xml:space="preserve">45</w:t>
            </w:r>
            <w:r>
              <w:rPr>
                <w:rFonts w:ascii="Arial" w:hAnsi="Arial" w:eastAsia="Times New Roman" w:cs="Arial"/>
                <w:color w:val="000000"/>
              </w:rPr>
              <w:t xml:space="preserve"> jours calendaires</w:t>
            </w:r>
            <w:r>
              <w:rPr>
                <w:rFonts w:ascii="Arial" w:hAnsi="Arial" w:eastAsia="Times New Roman" w:cs="Arial"/>
                <w:color w:val="000000"/>
              </w:rPr>
              <w:t xml:space="preserve"> maximum</w:t>
            </w:r>
            <w:r>
              <w:rPr>
                <w:rFonts w:ascii="Arial" w:hAnsi="Arial" w:eastAsia="Times New Roman" w:cs="Arial"/>
                <w:color w:val="000000"/>
              </w:rPr>
            </w:r>
          </w:p>
        </w:tc>
      </w:tr>
      <w:tr>
        <w:trPr>
          <w:trHeight w:val="822"/>
        </w:trPr>
        <w:tc>
          <w:tcPr>
            <w:tcBorders/>
            <w:tcW w:w="5637" w:type="dxa"/>
            <w:vAlign w:val="center"/>
            <w:textDirection w:val="lrTb"/>
            <w:noWrap w:val="false"/>
          </w:tcPr>
          <w:p>
            <w:pPr>
              <w:pBdr/>
              <w:spacing w:after="120" w:before="120"/>
              <w:ind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Garantie</w:t>
            </w:r>
            <w:r>
              <w:rPr>
                <w:rFonts w:ascii="Arial" w:hAnsi="Arial" w:eastAsia="Times New Roman" w:cs="Arial"/>
              </w:rPr>
            </w:r>
          </w:p>
        </w:tc>
        <w:tc>
          <w:tcPr>
            <w:tcBorders/>
            <w:tcW w:w="4706" w:type="dxa"/>
            <w:vAlign w:val="center"/>
            <w:textDirection w:val="lrTb"/>
            <w:noWrap w:val="false"/>
          </w:tcPr>
          <w:p>
            <w:pPr>
              <w:pBdr/>
              <w:spacing w:after="120" w:before="120"/>
              <w:ind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Times New Roman" w:cs="Arial"/>
                <w:color w:val="000000"/>
              </w:rPr>
              <w:t xml:space="preserve">Admission</w:t>
            </w:r>
            <w:r>
              <w:rPr>
                <w:rFonts w:ascii="Arial" w:hAnsi="Arial" w:eastAsia="Times New Roman" w:cs="Arial"/>
                <w:color w:val="000000"/>
              </w:rPr>
              <w:t xml:space="preserve"> </w:t>
            </w:r>
            <w:r>
              <w:rPr>
                <w:rFonts w:ascii="Arial" w:hAnsi="Arial" w:eastAsia="Times New Roman" w:cs="Arial"/>
                <w:color w:val="000000"/>
              </w:rPr>
              <w:t xml:space="preserve">+ </w:t>
            </w:r>
            <w:r>
              <w:rPr>
                <w:rFonts w:ascii="Arial" w:hAnsi="Arial" w:eastAsia="Times New Roman" w:cs="Arial"/>
                <w:color w:val="ff0000"/>
              </w:rPr>
              <w:t xml:space="preserve">à compléter par le candidat</w:t>
            </w:r>
            <w:r>
              <w:rPr>
                <w:rFonts w:ascii="Arial" w:hAnsi="Arial" w:eastAsia="Times New Roman" w:cs="Arial"/>
                <w:color w:val="000000"/>
              </w:rPr>
            </w:r>
          </w:p>
        </w:tc>
      </w:tr>
    </w:tbl>
    <w:p>
      <w:pPr>
        <w:pBdr/>
        <w:spacing/>
        <w:ind/>
        <w:rPr/>
      </w:pPr>
      <w:r/>
    </w:p>
    <w:sectPr>
      <w:footerReference w:type="default" r:id="rId9"/>
      <w:footnotePr/>
      <w:endnotePr/>
      <w:type w:val="nextPage"/>
      <w:pgSz w:h="16838" w:orient="portrait" w:w="11906"/>
      <w:pgMar w:top="1418" w:right="1134" w:bottom="1559" w:left="1134" w:header="0" w:footer="1418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Verdana">
    <w:panose1 w:val="020B0604030504040204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SimSun">
    <w:panose1 w:val="02020603020101020101"/>
  </w:font>
  <w:font w:name="Times New Roman">
    <w:panose1 w:val="02020603050405020304"/>
  </w:font>
  <w:font w:name="Microsoft YaHei">
    <w:panose1 w:val="020B0603020202020204"/>
  </w:font>
  <w:font w:name="Wingdings">
    <w:panose1 w:val="05010000000000000000"/>
  </w:font>
  <w:font w:name="Lucida Sans">
    <w:panose1 w:val="020B0603030804020204"/>
  </w:font>
  <w:font w:name="Liberation San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pBdr>
        <w:top w:val="single" w:color="548dd4" w:sz="12" w:space="0"/>
      </w:pBdr>
      <w:tabs>
        <w:tab w:val="clear" w:leader="none" w:pos="4536"/>
        <w:tab w:val="clear" w:leader="none" w:pos="9072"/>
        <w:tab w:val="right" w:leader="none" w:pos="10348"/>
      </w:tabs>
      <w:spacing/>
      <w:ind w:right="-286"/>
      <w:rPr>
        <w:rFonts w:ascii="Verdana" w:hAnsi="Verdana" w:cs="Verdana"/>
        <w:b/>
        <w:bCs/>
        <w:color w:val="0043a5"/>
        <w:sz w:val="12"/>
        <w:szCs w:val="12"/>
      </w:rPr>
    </w:pPr>
    <w:r>
      <w:rPr>
        <w:rFonts w:ascii="Verdana" w:hAnsi="Verdana"/>
        <w:b/>
        <w:color w:val="0043a5"/>
        <w:sz w:val="12"/>
        <w:szCs w:val="12"/>
      </w:rPr>
      <w:t xml:space="preserve">Marché 2025FOUR010NTE - Équipement pour la mesure synchrone de signaux ultrasonores sur une fibre optique à plusieurs réseaux de Bragg</w:t>
    </w:r>
    <w:r>
      <w:rPr>
        <w:rFonts w:ascii="Verdana" w:hAnsi="Verdana"/>
        <w:b/>
        <w:color w:val="0043a5"/>
        <w:sz w:val="12"/>
        <w:szCs w:val="12"/>
      </w:rPr>
      <w:tab/>
    </w:r>
    <w:r>
      <w:rPr>
        <w:rFonts w:ascii="Verdana" w:hAnsi="Verdana" w:cs="Verdana"/>
        <w:b/>
        <w:bCs/>
        <w:color w:val="0043a5"/>
        <w:sz w:val="12"/>
        <w:szCs w:val="12"/>
      </w:rPr>
      <w:t xml:space="preserve">Page </w:t>
    </w:r>
    <w:r>
      <w:rPr>
        <w:rFonts w:ascii="Verdana" w:hAnsi="Verdana" w:cs="Verdana"/>
        <w:b/>
        <w:bCs/>
        <w:color w:val="0043a5"/>
        <w:sz w:val="12"/>
        <w:szCs w:val="12"/>
      </w:rPr>
      <w:fldChar w:fldCharType="begin"/>
    </w:r>
    <w:r>
      <w:rPr>
        <w:rFonts w:ascii="Verdana" w:hAnsi="Verdana" w:cs="Verdana"/>
        <w:b/>
        <w:bCs/>
        <w:color w:val="0043a5"/>
        <w:sz w:val="12"/>
        <w:szCs w:val="12"/>
      </w:rPr>
      <w:instrText xml:space="preserve"> PAGE   \* MERGEFORMAT Page</w:instrText>
    </w:r>
    <w:r>
      <w:rPr>
        <w:rFonts w:ascii="Verdana" w:hAnsi="Verdana" w:cs="Verdana"/>
        <w:b/>
        <w:bCs/>
        <w:color w:val="0043a5"/>
        <w:sz w:val="12"/>
        <w:szCs w:val="12"/>
      </w:rPr>
      <w:fldChar w:fldCharType="separate"/>
    </w:r>
    <w:r>
      <w:rPr>
        <w:rFonts w:ascii="Verdana" w:hAnsi="Verdana" w:cs="Verdana"/>
        <w:b/>
        <w:bCs/>
        <w:color w:val="0043a5"/>
        <w:sz w:val="12"/>
        <w:szCs w:val="12"/>
      </w:rPr>
      <w:t xml:space="preserve">1</w:t>
    </w:r>
    <w:r>
      <w:rPr>
        <w:rFonts w:ascii="Verdana" w:hAnsi="Verdana" w:cs="Verdana"/>
        <w:b/>
        <w:bCs/>
        <w:color w:val="0043a5"/>
        <w:sz w:val="12"/>
        <w:szCs w:val="12"/>
      </w:rPr>
      <w:fldChar w:fldCharType="end"/>
    </w:r>
    <w:r>
      <w:rPr>
        <w:rFonts w:ascii="Verdana" w:hAnsi="Verdana" w:cs="Verdana"/>
        <w:b/>
        <w:bCs/>
        <w:color w:val="0043a5"/>
        <w:sz w:val="12"/>
        <w:szCs w:val="12"/>
      </w:rPr>
    </w:r>
  </w:p>
  <w:p>
    <w:pPr>
      <w:pStyle w:val="731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pBdr/>
        <w:spacing w:after="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2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2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2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719"/>
    <w:next w:val="719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719"/>
    <w:next w:val="719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19"/>
    <w:next w:val="719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19"/>
    <w:next w:val="719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19"/>
    <w:next w:val="719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19"/>
    <w:next w:val="719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19"/>
    <w:next w:val="719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19"/>
    <w:next w:val="719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19"/>
    <w:next w:val="719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20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20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20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20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20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20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20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20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20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720"/>
    <w:link w:val="72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19"/>
    <w:next w:val="719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20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19"/>
    <w:next w:val="719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20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719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72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19"/>
    <w:next w:val="719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20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2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19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2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20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20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2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20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20"/>
    <w:link w:val="730"/>
    <w:uiPriority w:val="99"/>
    <w:pPr>
      <w:pBdr/>
      <w:spacing/>
      <w:ind/>
    </w:pPr>
  </w:style>
  <w:style w:type="character" w:styleId="178">
    <w:name w:val="Footer Char"/>
    <w:basedOn w:val="720"/>
    <w:link w:val="731"/>
    <w:uiPriority w:val="99"/>
    <w:pPr>
      <w:pBdr/>
      <w:spacing/>
      <w:ind/>
    </w:pPr>
  </w:style>
  <w:style w:type="paragraph" w:styleId="180">
    <w:name w:val="footnote text"/>
    <w:basedOn w:val="719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20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20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19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20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20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2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2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19"/>
    <w:next w:val="719"/>
    <w:uiPriority w:val="39"/>
    <w:unhideWhenUsed/>
    <w:pPr>
      <w:pBdr/>
      <w:spacing w:after="100"/>
      <w:ind/>
    </w:pPr>
  </w:style>
  <w:style w:type="paragraph" w:styleId="189">
    <w:name w:val="toc 2"/>
    <w:basedOn w:val="719"/>
    <w:next w:val="719"/>
    <w:uiPriority w:val="39"/>
    <w:unhideWhenUsed/>
    <w:pPr>
      <w:pBdr/>
      <w:spacing w:after="100"/>
      <w:ind w:left="220"/>
    </w:pPr>
  </w:style>
  <w:style w:type="paragraph" w:styleId="190">
    <w:name w:val="toc 3"/>
    <w:basedOn w:val="719"/>
    <w:next w:val="719"/>
    <w:uiPriority w:val="39"/>
    <w:unhideWhenUsed/>
    <w:pPr>
      <w:pBdr/>
      <w:spacing w:after="100"/>
      <w:ind w:left="440"/>
    </w:pPr>
  </w:style>
  <w:style w:type="paragraph" w:styleId="191">
    <w:name w:val="toc 4"/>
    <w:basedOn w:val="719"/>
    <w:next w:val="719"/>
    <w:uiPriority w:val="39"/>
    <w:unhideWhenUsed/>
    <w:pPr>
      <w:pBdr/>
      <w:spacing w:after="100"/>
      <w:ind w:left="660"/>
    </w:pPr>
  </w:style>
  <w:style w:type="paragraph" w:styleId="192">
    <w:name w:val="toc 5"/>
    <w:basedOn w:val="719"/>
    <w:next w:val="719"/>
    <w:uiPriority w:val="39"/>
    <w:unhideWhenUsed/>
    <w:pPr>
      <w:pBdr/>
      <w:spacing w:after="100"/>
      <w:ind w:left="880"/>
    </w:pPr>
  </w:style>
  <w:style w:type="paragraph" w:styleId="193">
    <w:name w:val="toc 6"/>
    <w:basedOn w:val="719"/>
    <w:next w:val="719"/>
    <w:uiPriority w:val="39"/>
    <w:unhideWhenUsed/>
    <w:pPr>
      <w:pBdr/>
      <w:spacing w:after="100"/>
      <w:ind w:left="1100"/>
    </w:pPr>
  </w:style>
  <w:style w:type="paragraph" w:styleId="194">
    <w:name w:val="toc 7"/>
    <w:basedOn w:val="719"/>
    <w:next w:val="719"/>
    <w:uiPriority w:val="39"/>
    <w:unhideWhenUsed/>
    <w:pPr>
      <w:pBdr/>
      <w:spacing w:after="100"/>
      <w:ind w:left="1320"/>
    </w:pPr>
  </w:style>
  <w:style w:type="paragraph" w:styleId="195">
    <w:name w:val="toc 8"/>
    <w:basedOn w:val="719"/>
    <w:next w:val="719"/>
    <w:uiPriority w:val="39"/>
    <w:unhideWhenUsed/>
    <w:pPr>
      <w:pBdr/>
      <w:spacing w:after="100"/>
      <w:ind w:left="1540"/>
    </w:pPr>
  </w:style>
  <w:style w:type="paragraph" w:styleId="196">
    <w:name w:val="toc 9"/>
    <w:basedOn w:val="719"/>
    <w:next w:val="719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19"/>
    <w:next w:val="719"/>
    <w:uiPriority w:val="99"/>
    <w:unhideWhenUsed/>
    <w:pPr>
      <w:pBdr/>
      <w:spacing w:after="0" w:afterAutospacing="0"/>
      <w:ind/>
    </w:pPr>
  </w:style>
  <w:style w:type="paragraph" w:styleId="719" w:default="1">
    <w:name w:val="Normal"/>
    <w:qFormat/>
    <w:pPr>
      <w:pBdr/>
      <w:spacing w:after="200"/>
      <w:ind/>
    </w:pPr>
  </w:style>
  <w:style w:type="character" w:styleId="720" w:default="1">
    <w:name w:val="Default Paragraph Font"/>
    <w:uiPriority w:val="1"/>
    <w:semiHidden/>
    <w:unhideWhenUsed/>
    <w:pPr>
      <w:pBdr/>
      <w:spacing/>
      <w:ind/>
    </w:pPr>
  </w:style>
  <w:style w:type="table" w:styleId="72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22" w:default="1">
    <w:name w:val="No List"/>
    <w:uiPriority w:val="99"/>
    <w:semiHidden/>
    <w:unhideWhenUsed/>
    <w:pPr>
      <w:pBdr/>
      <w:spacing/>
      <w:ind/>
    </w:pPr>
  </w:style>
  <w:style w:type="character" w:styleId="723" w:customStyle="1">
    <w:name w:val="En-tête Car"/>
    <w:basedOn w:val="720"/>
    <w:uiPriority w:val="99"/>
    <w:pPr>
      <w:pBdr/>
      <w:spacing/>
      <w:ind/>
    </w:pPr>
  </w:style>
  <w:style w:type="character" w:styleId="724" w:customStyle="1">
    <w:name w:val="Pied de page Car"/>
    <w:basedOn w:val="720"/>
    <w:link w:val="731"/>
    <w:uiPriority w:val="99"/>
    <w:qFormat/>
    <w:pPr>
      <w:pBdr/>
      <w:spacing/>
      <w:ind/>
    </w:pPr>
  </w:style>
  <w:style w:type="paragraph" w:styleId="725">
    <w:name w:val="Title"/>
    <w:basedOn w:val="719"/>
    <w:next w:val="726"/>
    <w:pPr>
      <w:keepNext w:val="true"/>
      <w:pBdr/>
      <w:spacing w:after="120" w:before="240"/>
      <w:ind/>
    </w:pPr>
    <w:rPr>
      <w:rFonts w:ascii="Liberation Sans" w:hAnsi="Liberation Sans" w:eastAsia="Microsoft YaHei" w:cs="Arial"/>
      <w:sz w:val="28"/>
      <w:szCs w:val="28"/>
    </w:rPr>
  </w:style>
  <w:style w:type="paragraph" w:styleId="726">
    <w:name w:val="Body Text"/>
    <w:basedOn w:val="719"/>
    <w:pPr>
      <w:pBdr/>
      <w:spacing w:after="140" w:line="288" w:lineRule="auto"/>
      <w:ind/>
    </w:pPr>
  </w:style>
  <w:style w:type="paragraph" w:styleId="727">
    <w:name w:val="List"/>
    <w:basedOn w:val="726"/>
    <w:pPr>
      <w:pBdr/>
      <w:spacing/>
      <w:ind/>
    </w:pPr>
    <w:rPr>
      <w:rFonts w:cs="Arial"/>
    </w:rPr>
  </w:style>
  <w:style w:type="paragraph" w:styleId="728">
    <w:name w:val="Caption"/>
    <w:basedOn w:val="719"/>
    <w:pPr>
      <w:suppressLineNumbers w:val="true"/>
      <w:pBdr/>
      <w:spacing w:after="120" w:before="120"/>
      <w:ind/>
    </w:pPr>
    <w:rPr>
      <w:rFonts w:cs="Arial"/>
      <w:i/>
      <w:iCs/>
      <w:sz w:val="24"/>
      <w:szCs w:val="24"/>
    </w:rPr>
  </w:style>
  <w:style w:type="paragraph" w:styleId="729" w:customStyle="1">
    <w:name w:val="Index"/>
    <w:basedOn w:val="719"/>
    <w:pPr>
      <w:suppressLineNumbers w:val="true"/>
      <w:pBdr/>
      <w:spacing/>
      <w:ind/>
    </w:pPr>
    <w:rPr>
      <w:rFonts w:cs="Arial"/>
    </w:rPr>
  </w:style>
  <w:style w:type="paragraph" w:styleId="730">
    <w:name w:val="Header"/>
    <w:basedOn w:val="719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paragraph" w:styleId="731">
    <w:name w:val="Footer"/>
    <w:basedOn w:val="719"/>
    <w:link w:val="724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paragraph" w:styleId="732" w:customStyle="1">
    <w:name w:val="Normal1"/>
    <w:pPr>
      <w:widowControl w:val="false"/>
      <w:pBdr/>
      <w:spacing w:after="200"/>
      <w:ind/>
    </w:pPr>
    <w:rPr>
      <w:rFonts w:ascii="Times New Roman" w:hAnsi="Times New Roman" w:eastAsia="SimSun" w:cs="Lucida Sans"/>
      <w:color w:val="00000a"/>
      <w:sz w:val="24"/>
      <w:szCs w:val="24"/>
      <w:lang w:eastAsia="zh-CN" w:bidi="hi-IN"/>
    </w:rPr>
  </w:style>
  <w:style w:type="table" w:styleId="733">
    <w:name w:val="Table Grid"/>
    <w:basedOn w:val="721"/>
    <w:uiPriority w:val="59"/>
    <w:pPr>
      <w:pBdr/>
      <w:spacing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34">
    <w:name w:val="annotation text"/>
    <w:basedOn w:val="719"/>
    <w:link w:val="735"/>
    <w:unhideWhenUsed/>
    <w:pPr>
      <w:pBdr/>
      <w:spacing w:after="120" w:line="240" w:lineRule="auto"/>
      <w:ind/>
    </w:pPr>
    <w:rPr>
      <w:rFonts w:eastAsiaTheme="minorEastAsia"/>
      <w:sz w:val="20"/>
      <w:szCs w:val="20"/>
    </w:rPr>
  </w:style>
  <w:style w:type="character" w:styleId="735" w:customStyle="1">
    <w:name w:val="Commentaire Car"/>
    <w:basedOn w:val="720"/>
    <w:link w:val="734"/>
    <w:pPr>
      <w:pBdr/>
      <w:spacing/>
      <w:ind/>
    </w:pPr>
    <w:rPr>
      <w:rFonts w:eastAsiaTheme="minorEastAsia"/>
      <w:sz w:val="20"/>
      <w:szCs w:val="20"/>
    </w:rPr>
  </w:style>
  <w:style w:type="paragraph" w:styleId="736">
    <w:name w:val="Balloon Text"/>
    <w:basedOn w:val="719"/>
    <w:link w:val="737"/>
    <w:uiPriority w:val="99"/>
    <w:semiHidden/>
    <w:unhideWhenUsed/>
    <w:pPr>
      <w:pBdr/>
      <w:spacing w:after="0" w:line="240" w:lineRule="auto"/>
      <w:ind/>
    </w:pPr>
    <w:rPr>
      <w:rFonts w:ascii="Segoe UI" w:hAnsi="Segoe UI" w:cs="Segoe UI"/>
      <w:sz w:val="18"/>
      <w:szCs w:val="18"/>
    </w:rPr>
  </w:style>
  <w:style w:type="character" w:styleId="737" w:customStyle="1">
    <w:name w:val="Texte de bulles Car"/>
    <w:basedOn w:val="720"/>
    <w:link w:val="736"/>
    <w:uiPriority w:val="99"/>
    <w:semiHidden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738">
    <w:name w:val="annotation reference"/>
    <w:basedOn w:val="720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739">
    <w:name w:val="annotation subject"/>
    <w:basedOn w:val="734"/>
    <w:next w:val="734"/>
    <w:link w:val="740"/>
    <w:uiPriority w:val="99"/>
    <w:semiHidden/>
    <w:unhideWhenUsed/>
    <w:pPr>
      <w:pBdr/>
      <w:spacing w:after="200"/>
      <w:ind/>
    </w:pPr>
    <w:rPr>
      <w:rFonts w:eastAsiaTheme="minorHAnsi"/>
      <w:b/>
      <w:bCs/>
    </w:rPr>
  </w:style>
  <w:style w:type="character" w:styleId="740" w:customStyle="1">
    <w:name w:val="Objet du commentaire Car"/>
    <w:basedOn w:val="735"/>
    <w:link w:val="739"/>
    <w:uiPriority w:val="99"/>
    <w:semiHidden/>
    <w:pPr>
      <w:pBdr/>
      <w:spacing/>
      <w:ind/>
    </w:pPr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ONLYOFFICE/8.3.3.18</Application>
  <DocSecurity>0</DocSecurity>
  <ScaleCrop>0</ScaleCrop>
  <HeadingPairs>
    <vt:vector size="0" baseType="variant"/>
  </HeadingPairs>
  <TitlesOfParts>
    <vt:vector size="0" baseType="lpstr"/>
  </TitlesOfParts>
  <Company>Ifsttar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dc:language>fr-FR</dc:language>
  <cp:lastModifiedBy>Odile Abraham</cp:lastModifiedBy>
  <cp:revision>6</cp:revision>
  <dcterms:created xsi:type="dcterms:W3CDTF">2025-06-17T12:51:00Z</dcterms:created>
  <dcterms:modified xsi:type="dcterms:W3CDTF">2025-06-25T13:48:50Z</dcterms:modified>
</cp:coreProperties>
</file>